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9FA95A" w14:textId="77777777" w:rsidR="009C6239" w:rsidRDefault="009C6239" w:rsidP="009C6239">
      <w:pPr>
        <w:pStyle w:val="Default"/>
      </w:pPr>
    </w:p>
    <w:p w14:paraId="6F4F3898" w14:textId="216E334C" w:rsidR="009C6239" w:rsidRDefault="009C6239" w:rsidP="009C6239">
      <w:pPr>
        <w:pStyle w:val="Default"/>
        <w:jc w:val="center"/>
        <w:rPr>
          <w:sz w:val="28"/>
          <w:szCs w:val="28"/>
        </w:rPr>
      </w:pPr>
      <w:r>
        <w:rPr>
          <w:b/>
          <w:bCs/>
          <w:sz w:val="28"/>
          <w:szCs w:val="28"/>
        </w:rPr>
        <w:t xml:space="preserve">From Tartar Hunt to Imperial Hunt: Kano Sanraku’s </w:t>
      </w:r>
      <w:r>
        <w:rPr>
          <w:b/>
          <w:bCs/>
          <w:i/>
          <w:iCs/>
          <w:sz w:val="28"/>
          <w:szCs w:val="28"/>
        </w:rPr>
        <w:t xml:space="preserve">Hunting Scene </w:t>
      </w:r>
      <w:r>
        <w:rPr>
          <w:b/>
          <w:bCs/>
          <w:sz w:val="28"/>
          <w:szCs w:val="28"/>
        </w:rPr>
        <w:t>from</w:t>
      </w:r>
      <w:r>
        <w:rPr>
          <w:b/>
          <w:bCs/>
          <w:sz w:val="28"/>
          <w:szCs w:val="28"/>
        </w:rPr>
        <w:t xml:space="preserve"> </w:t>
      </w:r>
      <w:r>
        <w:rPr>
          <w:b/>
          <w:bCs/>
          <w:sz w:val="28"/>
          <w:szCs w:val="28"/>
        </w:rPr>
        <w:t xml:space="preserve">the Former </w:t>
      </w:r>
      <w:proofErr w:type="spellStart"/>
      <w:proofErr w:type="gramStart"/>
      <w:r>
        <w:rPr>
          <w:b/>
          <w:bCs/>
          <w:sz w:val="28"/>
          <w:szCs w:val="28"/>
        </w:rPr>
        <w:t>Shōden’in</w:t>
      </w:r>
      <w:proofErr w:type="spellEnd"/>
      <w:r>
        <w:rPr>
          <w:b/>
          <w:bCs/>
          <w:sz w:val="28"/>
          <w:szCs w:val="28"/>
        </w:rPr>
        <w:t xml:space="preserve"> </w:t>
      </w:r>
      <w:r>
        <w:rPr>
          <w:sz w:val="28"/>
          <w:szCs w:val="28"/>
        </w:rPr>
        <w:t xml:space="preserve"> </w:t>
      </w:r>
      <w:r>
        <w:rPr>
          <w:b/>
          <w:bCs/>
          <w:sz w:val="28"/>
          <w:szCs w:val="28"/>
        </w:rPr>
        <w:t>and</w:t>
      </w:r>
      <w:proofErr w:type="gramEnd"/>
      <w:r>
        <w:rPr>
          <w:b/>
          <w:bCs/>
          <w:sz w:val="28"/>
          <w:szCs w:val="28"/>
        </w:rPr>
        <w:t xml:space="preserve"> the Visual Language of Authority in Retirement</w:t>
      </w:r>
    </w:p>
    <w:p w14:paraId="21D7E074" w14:textId="77777777" w:rsidR="009C6239" w:rsidRDefault="009C6239" w:rsidP="009C6239">
      <w:pPr>
        <w:pStyle w:val="Default"/>
        <w:rPr>
          <w:sz w:val="23"/>
          <w:szCs w:val="23"/>
        </w:rPr>
      </w:pPr>
    </w:p>
    <w:p w14:paraId="4D3B0592" w14:textId="43F4CFE2" w:rsidR="009C6239" w:rsidRDefault="009C6239" w:rsidP="009C6239">
      <w:pPr>
        <w:pStyle w:val="Default"/>
        <w:rPr>
          <w:sz w:val="23"/>
          <w:szCs w:val="23"/>
        </w:rPr>
      </w:pPr>
      <w:proofErr w:type="spellStart"/>
      <w:r>
        <w:rPr>
          <w:sz w:val="23"/>
          <w:szCs w:val="23"/>
        </w:rPr>
        <w:t>Yeongik</w:t>
      </w:r>
      <w:proofErr w:type="spellEnd"/>
      <w:r>
        <w:rPr>
          <w:sz w:val="23"/>
          <w:szCs w:val="23"/>
        </w:rPr>
        <w:t xml:space="preserve"> Seo </w:t>
      </w:r>
    </w:p>
    <w:p w14:paraId="6FEBCBC2" w14:textId="77777777" w:rsidR="009C6239" w:rsidRDefault="009C6239" w:rsidP="009C6239">
      <w:pPr>
        <w:pStyle w:val="Default"/>
        <w:rPr>
          <w:b/>
          <w:bCs/>
          <w:sz w:val="23"/>
          <w:szCs w:val="23"/>
        </w:rPr>
      </w:pPr>
    </w:p>
    <w:p w14:paraId="10224065" w14:textId="018F4236" w:rsidR="009C6239" w:rsidRDefault="009C6239" w:rsidP="009C6239">
      <w:pPr>
        <w:pStyle w:val="Default"/>
        <w:rPr>
          <w:sz w:val="23"/>
          <w:szCs w:val="23"/>
        </w:rPr>
      </w:pPr>
      <w:r>
        <w:rPr>
          <w:b/>
          <w:bCs/>
          <w:sz w:val="23"/>
          <w:szCs w:val="23"/>
        </w:rPr>
        <w:t xml:space="preserve">Abstract </w:t>
      </w:r>
    </w:p>
    <w:p w14:paraId="011D0868" w14:textId="77777777" w:rsidR="009C6239" w:rsidRDefault="009C6239" w:rsidP="009C6239">
      <w:pPr>
        <w:rPr>
          <w:sz w:val="23"/>
          <w:szCs w:val="23"/>
        </w:rPr>
      </w:pPr>
    </w:p>
    <w:p w14:paraId="6625FB51" w14:textId="71CA8353" w:rsidR="00A4794B" w:rsidRDefault="009C6239" w:rsidP="009C6239">
      <w:r>
        <w:rPr>
          <w:sz w:val="23"/>
          <w:szCs w:val="23"/>
        </w:rPr>
        <w:t xml:space="preserve">Kano Sanraku’s </w:t>
      </w:r>
      <w:r>
        <w:rPr>
          <w:i/>
          <w:iCs/>
          <w:sz w:val="23"/>
          <w:szCs w:val="23"/>
        </w:rPr>
        <w:t>Hunting Scene</w:t>
      </w:r>
      <w:r>
        <w:rPr>
          <w:sz w:val="23"/>
          <w:szCs w:val="23"/>
        </w:rPr>
        <w:t xml:space="preserve">, painted around 1618 for the patron’s room of Oda Nagamasu’s </w:t>
      </w:r>
      <w:proofErr w:type="spellStart"/>
      <w:r>
        <w:rPr>
          <w:sz w:val="23"/>
          <w:szCs w:val="23"/>
        </w:rPr>
        <w:t>Shōden’in</w:t>
      </w:r>
      <w:proofErr w:type="spellEnd"/>
      <w:r>
        <w:rPr>
          <w:sz w:val="23"/>
          <w:szCs w:val="23"/>
        </w:rPr>
        <w:t xml:space="preserve"> retirement residence in Kyoto, derives from an established Kano school repertoire depicting Tartars hunting and playing polo. This essay situates the surviving panels within the pictorial lineage of Tartar imagery and argues that </w:t>
      </w:r>
      <w:proofErr w:type="spellStart"/>
      <w:r>
        <w:rPr>
          <w:sz w:val="23"/>
          <w:szCs w:val="23"/>
        </w:rPr>
        <w:t>Sanraku</w:t>
      </w:r>
      <w:proofErr w:type="spellEnd"/>
      <w:r>
        <w:rPr>
          <w:sz w:val="23"/>
          <w:szCs w:val="23"/>
        </w:rPr>
        <w:t xml:space="preserve"> transformed the inherited subject into an imperialized hunt. By omitting polo, replacing northern costume with Chinese official dress, enlarging the human figures, and directing movement across the room toward a stationary rider marked by the attributes of rulership, </w:t>
      </w:r>
      <w:proofErr w:type="spellStart"/>
      <w:r>
        <w:rPr>
          <w:sz w:val="23"/>
          <w:szCs w:val="23"/>
        </w:rPr>
        <w:t>Sanraku</w:t>
      </w:r>
      <w:proofErr w:type="spellEnd"/>
      <w:r>
        <w:rPr>
          <w:sz w:val="23"/>
          <w:szCs w:val="23"/>
        </w:rPr>
        <w:t xml:space="preserve"> recast mounted pursuit within an ordered courtly hierarchy. The transformation depended not only on iconography but also on architectural setting. Earlier Tartar imagery appeared in settings associated with warrior authority and patronage, whereas </w:t>
      </w:r>
      <w:proofErr w:type="spellStart"/>
      <w:r>
        <w:rPr>
          <w:sz w:val="23"/>
          <w:szCs w:val="23"/>
        </w:rPr>
        <w:t>Shōden’in</w:t>
      </w:r>
      <w:proofErr w:type="spellEnd"/>
      <w:r>
        <w:rPr>
          <w:sz w:val="23"/>
          <w:szCs w:val="23"/>
        </w:rPr>
        <w:t xml:space="preserve"> served as </w:t>
      </w:r>
      <w:proofErr w:type="spellStart"/>
      <w:r>
        <w:rPr>
          <w:sz w:val="23"/>
          <w:szCs w:val="23"/>
        </w:rPr>
        <w:t>Nagamasu’s</w:t>
      </w:r>
      <w:proofErr w:type="spellEnd"/>
      <w:r>
        <w:rPr>
          <w:sz w:val="23"/>
          <w:szCs w:val="23"/>
        </w:rPr>
        <w:t xml:space="preserve"> retirement residence and remained closely tied to his household and posthumous commemoration. A contemporary eulogy framed </w:t>
      </w:r>
      <w:proofErr w:type="spellStart"/>
      <w:r>
        <w:rPr>
          <w:sz w:val="23"/>
          <w:szCs w:val="23"/>
        </w:rPr>
        <w:t>Nagamasu’s</w:t>
      </w:r>
      <w:proofErr w:type="spellEnd"/>
      <w:r>
        <w:rPr>
          <w:sz w:val="23"/>
          <w:szCs w:val="23"/>
        </w:rPr>
        <w:t xml:space="preserve"> career through Chinese models of meritorious service and cultivated retirement. Considered alongside this text, </w:t>
      </w:r>
      <w:proofErr w:type="spellStart"/>
      <w:r>
        <w:rPr>
          <w:sz w:val="23"/>
          <w:szCs w:val="23"/>
        </w:rPr>
        <w:t>Sanraku’s</w:t>
      </w:r>
      <w:proofErr w:type="spellEnd"/>
      <w:r>
        <w:rPr>
          <w:sz w:val="23"/>
          <w:szCs w:val="23"/>
        </w:rPr>
        <w:t xml:space="preserve"> </w:t>
      </w:r>
      <w:r>
        <w:rPr>
          <w:i/>
          <w:iCs/>
          <w:sz w:val="23"/>
          <w:szCs w:val="23"/>
        </w:rPr>
        <w:t xml:space="preserve">Hunting Scene </w:t>
      </w:r>
      <w:r>
        <w:rPr>
          <w:sz w:val="23"/>
          <w:szCs w:val="23"/>
        </w:rPr>
        <w:t xml:space="preserve">acquires political resonance without identifying the central rider as either </w:t>
      </w:r>
      <w:proofErr w:type="spellStart"/>
      <w:r>
        <w:rPr>
          <w:sz w:val="23"/>
          <w:szCs w:val="23"/>
        </w:rPr>
        <w:t>Nagamasu</w:t>
      </w:r>
      <w:proofErr w:type="spellEnd"/>
      <w:r>
        <w:rPr>
          <w:sz w:val="23"/>
          <w:szCs w:val="23"/>
        </w:rPr>
        <w:t xml:space="preserve"> or a specific historical sovereign. </w:t>
      </w:r>
      <w:proofErr w:type="spellStart"/>
      <w:r>
        <w:rPr>
          <w:sz w:val="23"/>
          <w:szCs w:val="23"/>
        </w:rPr>
        <w:t>Sanraku’s</w:t>
      </w:r>
      <w:proofErr w:type="spellEnd"/>
      <w:r>
        <w:rPr>
          <w:sz w:val="23"/>
          <w:szCs w:val="23"/>
        </w:rPr>
        <w:t xml:space="preserve"> selective reconfiguration of an inherited Kano repertoire thus demonstrates how pictorial tradition could be adapted to structure martial action through relations of service and authority while retrospectively ordering a political life within a space of retirement.</w:t>
      </w:r>
    </w:p>
    <w:sectPr w:rsidR="00A47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Body CS)">
    <w:altName w:val="Times New Roman"/>
    <w:panose1 w:val="020B0604020202020204"/>
    <w:charset w:val="00"/>
    <w:family w:val="roman"/>
    <w:pitch w:val="variable"/>
    <w:sig w:usb0="E0002AEF" w:usb1="C0007841"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239"/>
    <w:rsid w:val="00001512"/>
    <w:rsid w:val="00382D7F"/>
    <w:rsid w:val="00632339"/>
    <w:rsid w:val="006B4DCC"/>
    <w:rsid w:val="00775999"/>
    <w:rsid w:val="007B13CE"/>
    <w:rsid w:val="009C6239"/>
    <w:rsid w:val="00A479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26F31928"/>
  <w15:chartTrackingRefBased/>
  <w15:docId w15:val="{DA000A9F-E160-EC4D-9154-AB2CDEE8A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Body CS)"/>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62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62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623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623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C623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C623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C623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C623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C623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62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62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623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623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C623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C623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C623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C623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C623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C623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62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623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623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C623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C6239"/>
    <w:rPr>
      <w:i/>
      <w:iCs/>
      <w:color w:val="404040" w:themeColor="text1" w:themeTint="BF"/>
    </w:rPr>
  </w:style>
  <w:style w:type="paragraph" w:styleId="ListParagraph">
    <w:name w:val="List Paragraph"/>
    <w:basedOn w:val="Normal"/>
    <w:uiPriority w:val="34"/>
    <w:qFormat/>
    <w:rsid w:val="009C6239"/>
    <w:pPr>
      <w:ind w:left="720"/>
      <w:contextualSpacing/>
    </w:pPr>
  </w:style>
  <w:style w:type="character" w:styleId="IntenseEmphasis">
    <w:name w:val="Intense Emphasis"/>
    <w:basedOn w:val="DefaultParagraphFont"/>
    <w:uiPriority w:val="21"/>
    <w:qFormat/>
    <w:rsid w:val="009C6239"/>
    <w:rPr>
      <w:i/>
      <w:iCs/>
      <w:color w:val="0F4761" w:themeColor="accent1" w:themeShade="BF"/>
    </w:rPr>
  </w:style>
  <w:style w:type="paragraph" w:styleId="IntenseQuote">
    <w:name w:val="Intense Quote"/>
    <w:basedOn w:val="Normal"/>
    <w:next w:val="Normal"/>
    <w:link w:val="IntenseQuoteChar"/>
    <w:uiPriority w:val="30"/>
    <w:qFormat/>
    <w:rsid w:val="009C62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6239"/>
    <w:rPr>
      <w:i/>
      <w:iCs/>
      <w:color w:val="0F4761" w:themeColor="accent1" w:themeShade="BF"/>
    </w:rPr>
  </w:style>
  <w:style w:type="character" w:styleId="IntenseReference">
    <w:name w:val="Intense Reference"/>
    <w:basedOn w:val="DefaultParagraphFont"/>
    <w:uiPriority w:val="32"/>
    <w:qFormat/>
    <w:rsid w:val="009C6239"/>
    <w:rPr>
      <w:b/>
      <w:bCs/>
      <w:smallCaps/>
      <w:color w:val="0F4761" w:themeColor="accent1" w:themeShade="BF"/>
      <w:spacing w:val="5"/>
    </w:rPr>
  </w:style>
  <w:style w:type="paragraph" w:customStyle="1" w:styleId="Default">
    <w:name w:val="Default"/>
    <w:rsid w:val="009C6239"/>
    <w:pPr>
      <w:autoSpaceDE w:val="0"/>
      <w:autoSpaceDN w:val="0"/>
      <w:adjustRightInd w:val="0"/>
    </w:pPr>
    <w:rPr>
      <w:rFonts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258</Words>
  <Characters>1472</Characters>
  <Application>Microsoft Office Word</Application>
  <DocSecurity>0</DocSecurity>
  <Lines>12</Lines>
  <Paragraphs>3</Paragraphs>
  <ScaleCrop>false</ScaleCrop>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Chusid</dc:creator>
  <cp:keywords/>
  <dc:description/>
  <cp:lastModifiedBy>Miriam Chusid</cp:lastModifiedBy>
  <cp:revision>1</cp:revision>
  <dcterms:created xsi:type="dcterms:W3CDTF">2026-09-21T15:55:00Z</dcterms:created>
  <dcterms:modified xsi:type="dcterms:W3CDTF">2026-09-21T15:56:00Z</dcterms:modified>
</cp:coreProperties>
</file>